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85" w:rsidRPr="00AD0685" w:rsidRDefault="00AD0685" w:rsidP="00AD0685">
      <w:pPr>
        <w:spacing w:after="0" w:line="345" w:lineRule="atLeast"/>
        <w:rPr>
          <w:rFonts w:ascii="Arial" w:eastAsia="Times New Roman" w:hAnsi="Arial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Arial" w:eastAsia="Times New Roman" w:hAnsi="Arial" w:cs="Arial"/>
          <w:b/>
          <w:bCs/>
          <w:color w:val="3F3F3F"/>
          <w:sz w:val="27"/>
          <w:szCs w:val="27"/>
          <w:lang w:eastAsia="bg-BG"/>
        </w:rPr>
        <w:t>Деловодна информация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45" w:lineRule="atLeast"/>
              <w:rPr>
                <w:rFonts w:ascii="Arial" w:eastAsia="Times New Roman" w:hAnsi="Arial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Партида на възложителя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5950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Изходящ номер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33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от дата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04-юли-2024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Обявлението подлежи на публикуване в ОВ на 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Дата на изпращане на обявлението до ОВ на ЕС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04-юли-2024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Съгласен съм с общите условия на АОП за използване на услугата електронен подател</w:t>
            </w:r>
          </w:p>
        </w:tc>
      </w:tr>
    </w:tbl>
    <w:p w:rsidR="00AD0685" w:rsidRPr="00AD0685" w:rsidRDefault="00AD0685" w:rsidP="00AD0685">
      <w:pPr>
        <w:spacing w:before="600" w:after="480" w:line="240" w:lineRule="auto"/>
        <w:rPr>
          <w:rFonts w:ascii="Arial" w:eastAsia="Times New Roman" w:hAnsi="Arial" w:cs="Arial"/>
          <w:color w:val="737373"/>
          <w:sz w:val="21"/>
          <w:szCs w:val="21"/>
          <w:lang w:eastAsia="bg-BG"/>
        </w:rPr>
      </w:pPr>
      <w:r w:rsidRPr="00AD0685">
        <w:rPr>
          <w:rFonts w:ascii="Arial" w:eastAsia="Times New Roman" w:hAnsi="Arial" w:cs="Arial"/>
          <w:color w:val="737373"/>
          <w:sz w:val="21"/>
          <w:szCs w:val="21"/>
          <w:lang w:eastAsia="bg-BG"/>
        </w:rPr>
        <w:pict>
          <v:rect id="_x0000_i1025" style="width:0;height:1.5pt" o:hralign="center" o:hrstd="t" o:hr="t" fillcolor="#a0a0a0" stroked="f"/>
        </w:pict>
      </w:r>
    </w:p>
    <w:p w:rsidR="00AD0685" w:rsidRPr="00AD0685" w:rsidRDefault="00AD0685" w:rsidP="00AD0685">
      <w:pPr>
        <w:spacing w:after="0" w:line="345" w:lineRule="atLeast"/>
        <w:outlineLvl w:val="2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Притурка към Официален вестник на Европейския съюз</w:t>
      </w:r>
    </w:p>
    <w:p w:rsidR="00AD0685" w:rsidRPr="00AD0685" w:rsidRDefault="00AD0685" w:rsidP="00AD0685">
      <w:pPr>
        <w:spacing w:after="0" w:line="270" w:lineRule="atLeast"/>
        <w:outlineLvl w:val="3"/>
        <w:rPr>
          <w:rFonts w:ascii="PT Sans" w:eastAsia="Times New Roman" w:hAnsi="PT Sans" w:cs="Arial"/>
          <w:color w:val="3F3F3F"/>
          <w:sz w:val="21"/>
          <w:szCs w:val="21"/>
          <w:lang w:eastAsia="bg-BG"/>
        </w:rPr>
      </w:pPr>
      <w:r w:rsidRPr="00AD0685">
        <w:rPr>
          <w:rFonts w:ascii="PT Sans" w:eastAsia="Times New Roman" w:hAnsi="PT Sans" w:cs="Arial"/>
          <w:color w:val="3F3F3F"/>
          <w:sz w:val="21"/>
          <w:szCs w:val="21"/>
          <w:lang w:eastAsia="bg-BG"/>
        </w:rPr>
        <w:t>Информация и онлайн формуляри: http://simap.ted.europa.eu</w:t>
      </w:r>
    </w:p>
    <w:p w:rsidR="00AD0685" w:rsidRPr="00AD0685" w:rsidRDefault="00AD0685" w:rsidP="00AD0685">
      <w:pPr>
        <w:spacing w:after="0" w:line="345" w:lineRule="atLeast"/>
        <w:jc w:val="righ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Обявление за възложена поръчка – Общата директива, стандартен режим</w:t>
      </w:r>
    </w:p>
    <w:p w:rsidR="00AD0685" w:rsidRPr="00AD0685" w:rsidRDefault="00AD0685" w:rsidP="00AD0685">
      <w:pPr>
        <w:spacing w:after="0" w:line="270" w:lineRule="atLeast"/>
        <w:jc w:val="right"/>
        <w:rPr>
          <w:rFonts w:ascii="PT Sans" w:eastAsia="Times New Roman" w:hAnsi="PT Sans" w:cs="Arial"/>
          <w:color w:val="3F3F3F"/>
          <w:sz w:val="21"/>
          <w:szCs w:val="21"/>
          <w:lang w:eastAsia="bg-BG"/>
        </w:rPr>
      </w:pPr>
      <w:r w:rsidRPr="00AD0685">
        <w:rPr>
          <w:rFonts w:ascii="PT Sans" w:eastAsia="Times New Roman" w:hAnsi="PT Sans" w:cs="Arial"/>
          <w:color w:val="3F3F3F"/>
          <w:sz w:val="21"/>
          <w:szCs w:val="21"/>
          <w:lang w:eastAsia="bg-BG"/>
        </w:rPr>
        <w:t>Директива 2014/24/ЕС</w:t>
      </w:r>
    </w:p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Възлагащ орган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Купувач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ID — Купувач (OPT-300-Procedure-Buyer)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ЦЕНТЪР ЗА КОМПЛЕКСНО ОБСЛУЖВАНЕ НА ДЕЦА С УВРЕЖДАНИЯ И ХРОНИЧНИ ЗАБОЛЯВАНИЯ - ВИДИН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Правна категория на купувача(BT-11-Procedure-Buyer)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Орган на централната власт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Дейност на възлагащия орган(BT-10-Procedure-Buyer)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Здравеопазване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Профил на купувача(BT-508-Procedure-Buyer)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https://app.eop.bg/buyer/24164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Процедура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Настоящата поръчка е разделена на обособени позиции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Цел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Предишно обявление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Предишно обявление(OPP-090-Procedure)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041945-2024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Правно основание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Правно основание на процедурата(BT-01-notice)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Директива 2014/24/ЕС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Друго правно основание с идентификатор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Правно основание на процедурата (ELI — CELEX)(BT-01(c)-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Procedure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Местно законодателство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Правно основание на процедурата (описание)(BT-01(d)-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Procedure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Чл. 79, ал. 1, т. 7 от 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ЗОПДоставка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 на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Описание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Вътрешен идентификатор(BT-22-Procedure)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399578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Заглавие(BT-21-Procedure)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ГАЗЬОЛ ЗА ОТОПЛЕНИЕ 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Описание(BT-24-Procedure)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гориво за отопление - газьол за ПКЦ. Прогнозно количество 30 000 литра +/- 10%, за срок от 1 г.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Естество на поръчката(BT-23-Procedure)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Обхват на поръчката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Прогнозна стойност, без да се включва ДДС(BT-27-Procedure)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70000.00 BGN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Основна класификация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Основна класификация(BT-262-Procedure)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09134000 - Газьол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Процедура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Процедура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 процедура(BT-105-Procedure)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Договаряне без предварително обявление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Пряко възлагане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Обосновка за пряко възлагане(BT-136-Procedure)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Поръчка за доставки на стоки, които се търгуват на стокова борса и се купуват на тази борса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Друга обосновка(BT-135-Procedure)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Предмет на поръчката е стока която е включена в списъка на МС на стоки, които се търгуват на стокова борса.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Цел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Обособена позиция(BT-137-Lot)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LOT-0001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Описание на обособената позиция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Вътрешен идентификатор(BT-22-Lot)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399578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Заглавие(BT-21-Lot)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ГАЗЬОЛ ЗА ОТОПЛЕНИЕ 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Описание(BT-24-Lot)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гориво за отопление - газьол за ПКЦ. Прогнозно количество 30 000 литра +/- 10%, за срок от 1г.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Естество на поръчката(BT-23-Lot)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Обхват на поръчката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Прогнозна стойност, без да се включва ДДС(BT-27-Lot)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70000.00 BGN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Класификация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Основна класификация(BT-262-Lot)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09134000 - Газьол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 обществена поръчка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Детайли за критериите за "Зелени обществени поръчки"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Критерии за екологосъобразна поръчка(BT-805-Lot)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Липса на критерии за екологосъобразни обществени поръчки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Стратегическа поръчка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Цел на стратегическата обществена поръчка (BT-06-Lot)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Няма стратегическа обществена поръчка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Критерии за достъпност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Използването на критерии за достъпността за лицата с увреждания в техническите спецификации(BT-754-Lot)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Критерии за достъпността за лицата с увреждания не са включени, защото поръчката не е предназначена за използване от физически лица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Планиран срок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Начална дата(BT-536-Lot)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25-юни-2024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Крайна дата(BT-537-Lot)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24-юни-2025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Продължавания и опции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Тази поръчка подлежи на подновяване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Ще се използват опции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Условия на търга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Използва се електронен търг(BT-767-Lot)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Споразумение за държавните поръчки (СДП)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Поръчката попада в приложното поле на Споразумението за държавните поръчки (СДП)(BT-115-Lot)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Използване на средства от 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Обществената поръчка е поне частично финансирана със средства на Европейския съюз(BT-60-Lot)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Проект за възлагане на обществена поръчка, който не е финансиран със средства от 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Специфични техники и инструменти за възлагане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Предвижда се рамково споразумение(BT-765-Lot)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Няма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Предвижда се динамична система за покупки(BT-766-Lot)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Няма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Тръжни условия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Критерии за възлагане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Критерий за възлагане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Вид(BT-539-Lot)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Цена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Наименование(BT-734-Lot)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Най- ниска цена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Описание(BT-540-Lot)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Най- ниска цена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Информация за Директивата за чистите превозни средства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Поръчката е от обхвата на Директива 2009/33/ЕО на Европейския парламент и на Съвета (Директивата за чистите превозни средства — ДЧПС)(BT-717-Lot)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Информация за подаването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Процедура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Ако тази процедура или обособена позиция бъде прекратена, тя ще бъде обявена повторно (BT-634-Lot)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Обжалване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Орган по обжалване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органа по обжалване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Комисия за защита на конкуренцията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lastRenderedPageBreak/>
        <w:t>Резултат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Стойност на всички договори, възложени с това обявление (BT-161-NoticeResult)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63210.00 BGN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Участник в тръжната процедура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участник в тръжната процедура(OPT-210-Tenderer)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TPA-0001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Участници в тръжната процедура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ID — Участник (OPT-300-Tenderer)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САКСА ООД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Договор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Договор 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договор (OPT-316-Contract)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CON-0001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договора(BT-150-Contract)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150478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Дата на сключване на договора(BT-145-Contract)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25-юни-2024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Заглавие(BT-721-Contract)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ГАЗЬОЛ ЗА ОТОПЛЕНИЕ 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Адрес на договора(BT-151-Contract)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https://app.eop.bg/today/399578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Оферта, въз основа на която е сключен договор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офертата за поръчката(BT-3202-Contract)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150478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Подадена оферта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Оферта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оферта(OPT-321-Tender)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TEN-0001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офертата(BT-3201-Tender)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150478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Офертата е била класирана(BT-1711-Tender)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Стойност на резултата(BT-720-Tender)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63210.00 BGN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Оферта 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обособена позиция или група обособени позиции(BT-13714-Tender)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ГАЗЬОЛ ЗА ОТОПЛЕНИЕ 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участник в тръжната процедура(OPT-310-Tender)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TPA-0001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Използване на подизпълнители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Възлагане на подизпълнители(BT-773-Tender)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Резултат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резултат по обособена позиция(OPT-322-LotResult)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RES-0001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Победител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Избран ли е победител (BT-142-LotResult)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Избран е най-малко един победител.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Резултат 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Резултат — идентификатор на обособена позиция(BT-13713-LotResult)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ДОСТАВКА НА ГАЗЬОЛ ЗА ОТОПЛЕНИЕ 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Предложение, взето предвид при вземане на решение за присъждане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Препратка към идентификатора на оферта(OPT-320-LotResult)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150478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Договор след вземане на решение за присъждане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договор (OPT-315-LotResult)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150478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Страни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Финансираща организация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ID — Финансираща организация (OPT-301-LotResult-Financing)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ЦЕНТЪР ЗА КОМПЛЕКСНО ОБСЛУЖВАНЕ НА ДЕЦА С УВРЕЖДАНИЯ И ХРОНИЧНИ ЗАБОЛЯВАНИЯ - ВИДИН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Статистика за получените оферти или заявления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 на получените оферти или заявления(BT-760-LotResult)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Оферти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Броят на получените оферти или заявления за участие(BT-759-LotResult)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Организации, посочени в обявлението (1)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дружество(OPT-200-Organization-Company)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lastRenderedPageBreak/>
              <w:t>ORG-0001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Организация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Официално наименование(BT-500-Organization-Company)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ЦЕНТЪР ЗА КОМПЛЕКСНО ОБСЛУЖВАНЕ НА ДЕЦА С УВРЕЖДАНИЯ И ХРОНИЧНИ ЗАБОЛЯВАНИЯ - ВИДИН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правното лице на компанията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Регистрационен номер(BT-501-Organization-Company)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177418636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Адрес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адрес(BT-510(a)-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Organization-Company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БОНОНИЯ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Град(BT-513-Organization-Company)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гр.Видин</w:t>
            </w:r>
            <w:proofErr w:type="spellEnd"/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код(BT-512-Organization-Company)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3700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Държава(BT-514-Organization-Company)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България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Точка за връзка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Звено за контакт(BT-502-Organization-Company)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Zhoro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Hristoforov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Borisov</w:t>
            </w:r>
            <w:proofErr w:type="spellEnd"/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Електронна поща(BT-506-Organization-Company)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ckoduhz_vidin@abv.bg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Телефон(BT-503-Organization-Company)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+359 887272436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Организации, посочени в обявлението (2)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дружество(OPT-200-Organization-Company)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ORG-0002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Организация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Официално наименование(BT-500-Organization-Company)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Комисия за защита на конкуренцията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правното лице на компанията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Регистрационен номер(BT-501-Organization-Company)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000698612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Интернет адрес(BT-505-Organization-Company)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http://www.cpc.bg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Адрес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адрес(BT-510(a)-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Organization-Company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бул. Витоша № 18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Град(BT-513-Organization-Company)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София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код(BT-512-Organization-Company)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1000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Държава(BT-514-Organization-Company)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България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Точка за връзка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Звено за контакт(BT-502-Organization-Company)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Комисия за защита на конкуренцията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Електронна поща(BT-506-Organization-Company)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delovodstvo@cpc.bg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Телефон(BT-503-Organization-Company)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+359 29356113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Факс(BT-739-Organization-Company)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+359 29807315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Организации, посочени в обявлението (3)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— дружество(OPT-200-Organization-Company)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ORG-0003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Организация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Официално наименование(BT-500-Organization-Company)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САКСА ООД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правното лице на компанията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Регистрационен номер(BT-501-Organization-Company)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131245283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Интернет адрес(BT-505-Organization-Company)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http://www.saksa.bg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Адрес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адрес(BT-510(a)-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Organization-Company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ТЪРГОВСКА №.1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Град(BT-513-Organization-Company)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гр. Долна баня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Пощенски код(BT-512-Organization-Company)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2040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Държава(BT-514-Organization-Company)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България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Точка за връзка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Звено за контакт(BT-502-Organization-Company)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Atanas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 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Gruev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 xml:space="preserve"> DIMOV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Електронна поща(BT-506-Organization-Company)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office@saksa-bg.com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Телефон(BT-503-Organization-Company)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+359 888279202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Информация, свързана изключително с икономическия оператор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Организацията е физическо лице(BT-633-Organization)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Размер на икономическия оператор(BT-165-Organization-Company)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Средно предприятие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Ценните книжа на победителя са допуснати до търговия на регулиран пазар(BT-746-Organization)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Не</w:t>
            </w:r>
          </w:p>
        </w:tc>
      </w:tr>
    </w:tbl>
    <w:p w:rsidR="00AD0685" w:rsidRPr="00AD0685" w:rsidRDefault="00AD0685" w:rsidP="00AD0685">
      <w:pPr>
        <w:spacing w:after="0" w:line="345" w:lineRule="atLeast"/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</w:pPr>
      <w:r w:rsidRPr="00AD0685">
        <w:rPr>
          <w:rFonts w:ascii="PT Sans" w:eastAsia="Times New Roman" w:hAnsi="PT Sans" w:cs="Arial"/>
          <w:b/>
          <w:bCs/>
          <w:color w:val="3F3F3F"/>
          <w:sz w:val="27"/>
          <w:szCs w:val="27"/>
          <w:lang w:eastAsia="bg-BG"/>
        </w:rPr>
        <w:t>Мета данни</w:t>
      </w:r>
    </w:p>
    <w:tbl>
      <w:tblPr>
        <w:tblW w:w="21600" w:type="dxa"/>
        <w:tblCellSpacing w:w="15" w:type="dxa"/>
        <w:tblBorders>
          <w:top w:val="single" w:sz="6" w:space="0" w:color="CCCCCC"/>
          <w:left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0505"/>
      </w:tblGrid>
      <w:tr w:rsidR="00AD0685" w:rsidRPr="00AD0685" w:rsidTr="00AD06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PT Sans" w:eastAsia="Times New Roman" w:hAnsi="PT Sans" w:cs="Arial"/>
                <w:b/>
                <w:bCs/>
                <w:color w:val="3F3F3F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D0685" w:rsidRPr="00AD0685" w:rsidRDefault="00AD0685" w:rsidP="00AD068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 обявление(BT-02-notice)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Обявление за възложена поръчка или концесия – стандартен режим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Вид на формуляра(BT-03-notice)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proofErr w:type="spellStart"/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result</w:t>
            </w:r>
            <w:proofErr w:type="spellEnd"/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процедурата(BT-04-notice)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lastRenderedPageBreak/>
              <w:t>27d472d1-7836-49e5-ae4b-ece6b269be21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Идентификатор/версия на обявлението(BT-701-notice)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8adc892a-43ef-4011-9842-d4f984be51fb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Версия на обявлението(BT-757-notice)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Езици, на които настоящото известие е официално достъпно(BT-702(a)-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notice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български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Дата на изпращане на обявлението(BT-05(a)-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notice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04-юли-2024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Дата на изпращане на обявлението(BT-05(b)-</w:t>
            </w:r>
            <w:proofErr w:type="spellStart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notice</w:t>
            </w:r>
            <w:proofErr w:type="spellEnd"/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11:42:41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версията на UBL (UBL)(OPT-001-notice)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2.3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Идентификатор на персонализацията (UBL)(OPT-002-notice)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eforms-sdk-1.8</w:t>
            </w:r>
          </w:p>
        </w:tc>
      </w:tr>
      <w:tr w:rsidR="00AD0685" w:rsidRPr="00AD0685" w:rsidTr="00AD0685">
        <w:trPr>
          <w:tblCellSpacing w:w="15" w:type="dxa"/>
        </w:trPr>
        <w:tc>
          <w:tcPr>
            <w:tcW w:w="1050" w:type="dxa"/>
            <w:tcBorders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vAlign w:val="center"/>
            <w:hideMark/>
          </w:tcPr>
          <w:p w:rsidR="00AD0685" w:rsidRPr="00AD0685" w:rsidRDefault="00AD0685" w:rsidP="00AD068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lang w:eastAsia="bg-BG"/>
              </w:rPr>
              <w:t>Подвид на обявлението(OPP-070-notice)</w:t>
            </w:r>
          </w:p>
          <w:p w:rsidR="00AD0685" w:rsidRPr="00AD0685" w:rsidRDefault="00AD0685" w:rsidP="00AD068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</w:pPr>
            <w:r w:rsidRPr="00AD0685">
              <w:rPr>
                <w:rFonts w:ascii="Times New Roman" w:eastAsia="Times New Roman" w:hAnsi="Times New Roman" w:cs="Times New Roman"/>
                <w:b/>
                <w:bCs/>
                <w:color w:val="3F3F3F"/>
                <w:sz w:val="21"/>
                <w:szCs w:val="21"/>
                <w:lang w:eastAsia="bg-BG"/>
              </w:rPr>
              <w:t>Обявление за възложена поръчка – Общата директива, стандартен режим</w:t>
            </w:r>
          </w:p>
        </w:tc>
      </w:tr>
    </w:tbl>
    <w:p w:rsidR="0069549C" w:rsidRDefault="00AD0685">
      <w:bookmarkStart w:id="0" w:name="_GoBack"/>
      <w:bookmarkEnd w:id="0"/>
    </w:p>
    <w:sectPr w:rsidR="0069549C" w:rsidSect="00AD06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8E"/>
    <w:rsid w:val="00AD0685"/>
    <w:rsid w:val="00B22D44"/>
    <w:rsid w:val="00BB188E"/>
    <w:rsid w:val="00B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914BF-F76D-487A-A878-7685F10B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2024-07-04T10:40:00Z</dcterms:created>
  <dcterms:modified xsi:type="dcterms:W3CDTF">2024-07-04T10:40:00Z</dcterms:modified>
</cp:coreProperties>
</file>